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93" w:rsidRPr="00DD4FD7" w:rsidRDefault="00AC2A93" w:rsidP="00D32A83">
      <w:pPr>
        <w:pStyle w:val="Heading2"/>
        <w:rPr>
          <w:color w:val="auto"/>
        </w:rPr>
      </w:pPr>
      <w:r w:rsidRPr="00DD4FD7">
        <w:rPr>
          <w:color w:val="auto"/>
        </w:rPr>
        <w:t>Objective</w:t>
      </w:r>
    </w:p>
    <w:p w:rsidR="00AC2A93" w:rsidRPr="00DD4FD7" w:rsidRDefault="00AC2A93" w:rsidP="00E83052">
      <w:pPr>
        <w:rPr>
          <w:rFonts w:ascii="Arial" w:hAnsi="Arial" w:cs="Arial"/>
          <w:sz w:val="22"/>
          <w:szCs w:val="22"/>
        </w:rPr>
      </w:pPr>
    </w:p>
    <w:p w:rsidR="00C944D4" w:rsidRPr="00DD4FD7" w:rsidRDefault="00C944D4" w:rsidP="006C6328">
      <w:pPr>
        <w:rPr>
          <w:rFonts w:ascii="Arial" w:hAnsi="Arial" w:cs="Arial"/>
          <w:sz w:val="22"/>
          <w:szCs w:val="22"/>
        </w:rPr>
      </w:pPr>
      <w:r w:rsidRPr="00DD4FD7">
        <w:rPr>
          <w:rFonts w:ascii="Arial" w:hAnsi="Arial" w:cs="Arial"/>
          <w:sz w:val="22"/>
          <w:szCs w:val="22"/>
        </w:rPr>
        <w:t>Andover Musical Theatre Company</w:t>
      </w:r>
      <w:r w:rsidR="006C6328" w:rsidRPr="00DD4FD7">
        <w:rPr>
          <w:rFonts w:ascii="Arial" w:hAnsi="Arial" w:cs="Arial"/>
          <w:sz w:val="22"/>
          <w:szCs w:val="22"/>
        </w:rPr>
        <w:t xml:space="preserve"> (</w:t>
      </w:r>
      <w:r w:rsidRPr="00DD4FD7">
        <w:rPr>
          <w:rFonts w:ascii="Arial" w:hAnsi="Arial" w:cs="Arial"/>
          <w:sz w:val="22"/>
          <w:szCs w:val="22"/>
        </w:rPr>
        <w:t>AMTC</w:t>
      </w:r>
      <w:r w:rsidR="006C6328" w:rsidRPr="00DD4FD7">
        <w:rPr>
          <w:rFonts w:ascii="Arial" w:hAnsi="Arial" w:cs="Arial"/>
          <w:sz w:val="22"/>
          <w:szCs w:val="22"/>
        </w:rPr>
        <w:t xml:space="preserve">) exists to </w:t>
      </w:r>
      <w:r w:rsidRPr="00DD4FD7">
        <w:rPr>
          <w:rFonts w:ascii="Arial" w:hAnsi="Arial" w:cs="Arial"/>
          <w:sz w:val="22"/>
          <w:szCs w:val="22"/>
        </w:rPr>
        <w:t>educate its members and foster the interest of the public in the art and science of music, by presentation of musicals, performances, operettas and other forms of musical entertainment of the highest quality possible.</w:t>
      </w:r>
    </w:p>
    <w:p w:rsidR="006C6328" w:rsidRPr="00DD4FD7" w:rsidRDefault="006C6328" w:rsidP="006C6328">
      <w:pPr>
        <w:rPr>
          <w:rFonts w:ascii="Arial" w:hAnsi="Arial" w:cs="Arial"/>
          <w:sz w:val="22"/>
          <w:szCs w:val="22"/>
        </w:rPr>
      </w:pPr>
      <w:r w:rsidRPr="00DD4FD7">
        <w:rPr>
          <w:rFonts w:ascii="Arial" w:hAnsi="Arial" w:cs="Arial"/>
          <w:sz w:val="22"/>
          <w:szCs w:val="22"/>
        </w:rPr>
        <w:t xml:space="preserve">To further this objective, </w:t>
      </w:r>
      <w:r w:rsidR="00C944D4" w:rsidRPr="00DD4FD7">
        <w:rPr>
          <w:rFonts w:ascii="Arial" w:hAnsi="Arial" w:cs="Arial"/>
          <w:sz w:val="22"/>
          <w:szCs w:val="22"/>
        </w:rPr>
        <w:t>AMTC</w:t>
      </w:r>
      <w:r w:rsidRPr="00DD4FD7">
        <w:rPr>
          <w:rFonts w:ascii="Arial" w:hAnsi="Arial" w:cs="Arial"/>
          <w:sz w:val="22"/>
          <w:szCs w:val="22"/>
        </w:rPr>
        <w:t xml:space="preserve"> holds a range of personal data on </w:t>
      </w:r>
      <w:r w:rsidR="00C944D4" w:rsidRPr="00DD4FD7">
        <w:rPr>
          <w:rFonts w:ascii="Arial" w:hAnsi="Arial" w:cs="Arial"/>
          <w:sz w:val="22"/>
          <w:szCs w:val="22"/>
        </w:rPr>
        <w:t>members</w:t>
      </w:r>
      <w:r w:rsidRPr="00DD4FD7">
        <w:rPr>
          <w:rFonts w:ascii="Arial" w:hAnsi="Arial" w:cs="Arial"/>
          <w:sz w:val="22"/>
          <w:szCs w:val="22"/>
        </w:rPr>
        <w:t>, employees</w:t>
      </w:r>
      <w:r w:rsidR="00C944D4" w:rsidRPr="00DD4FD7">
        <w:rPr>
          <w:rFonts w:ascii="Arial" w:hAnsi="Arial" w:cs="Arial"/>
          <w:sz w:val="22"/>
          <w:szCs w:val="22"/>
        </w:rPr>
        <w:t xml:space="preserve"> (e.g. artistic and musical directors)</w:t>
      </w:r>
      <w:r w:rsidRPr="00DD4FD7">
        <w:rPr>
          <w:rFonts w:ascii="Arial" w:hAnsi="Arial" w:cs="Arial"/>
          <w:sz w:val="22"/>
          <w:szCs w:val="22"/>
        </w:rPr>
        <w:t xml:space="preserve"> and volunteers. Personal data is defined as any information that can identify a living individual (e.g. an entry in a database, photographs, or disciplinary records). </w:t>
      </w:r>
      <w:r w:rsidR="00C944D4" w:rsidRPr="00DD4FD7">
        <w:rPr>
          <w:rFonts w:ascii="Arial" w:hAnsi="Arial" w:cs="Arial"/>
          <w:sz w:val="22"/>
          <w:szCs w:val="22"/>
        </w:rPr>
        <w:t>AMTC</w:t>
      </w:r>
      <w:r w:rsidRPr="00DD4FD7">
        <w:rPr>
          <w:rFonts w:ascii="Arial" w:hAnsi="Arial" w:cs="Arial"/>
          <w:sz w:val="22"/>
          <w:szCs w:val="22"/>
        </w:rPr>
        <w:t xml:space="preserve"> therefore has the following policy on the protection of personal data, which complies with the principles of the Data Protection Act 1998.</w:t>
      </w:r>
    </w:p>
    <w:p w:rsidR="00AC2A93" w:rsidRPr="00DD4FD7" w:rsidRDefault="00AC2A93" w:rsidP="00D32A83">
      <w:pPr>
        <w:pStyle w:val="Heading2"/>
        <w:rPr>
          <w:color w:val="auto"/>
        </w:rPr>
      </w:pPr>
      <w:r w:rsidRPr="00DD4FD7">
        <w:rPr>
          <w:color w:val="auto"/>
        </w:rPr>
        <w:t>Scope</w:t>
      </w:r>
    </w:p>
    <w:p w:rsidR="00D32A83" w:rsidRPr="00DD4FD7" w:rsidRDefault="00D32A83" w:rsidP="00D32A83"/>
    <w:p w:rsidR="00AC2A93" w:rsidRPr="00DD4FD7" w:rsidRDefault="00AC2A93" w:rsidP="00E83052">
      <w:pPr>
        <w:rPr>
          <w:rFonts w:ascii="Arial" w:hAnsi="Arial" w:cs="Arial"/>
          <w:sz w:val="22"/>
          <w:szCs w:val="22"/>
        </w:rPr>
      </w:pPr>
      <w:r w:rsidRPr="00DD4FD7">
        <w:rPr>
          <w:rFonts w:ascii="Arial" w:hAnsi="Arial" w:cs="Arial"/>
          <w:sz w:val="22"/>
          <w:szCs w:val="22"/>
        </w:rPr>
        <w:t xml:space="preserve">This policy applies to all employees and volunteers working with </w:t>
      </w:r>
      <w:r w:rsidR="00C944D4" w:rsidRPr="00DD4FD7">
        <w:rPr>
          <w:rFonts w:ascii="Arial" w:hAnsi="Arial" w:cs="Arial"/>
          <w:sz w:val="22"/>
          <w:szCs w:val="22"/>
        </w:rPr>
        <w:t>AMTC</w:t>
      </w:r>
      <w:r w:rsidRPr="00DD4FD7">
        <w:rPr>
          <w:rFonts w:ascii="Arial" w:hAnsi="Arial" w:cs="Arial"/>
          <w:sz w:val="22"/>
          <w:szCs w:val="22"/>
        </w:rPr>
        <w:t xml:space="preserve"> and covers all current and f</w:t>
      </w:r>
      <w:r w:rsidR="00C944D4" w:rsidRPr="00DD4FD7">
        <w:rPr>
          <w:rFonts w:ascii="Arial" w:hAnsi="Arial" w:cs="Arial"/>
          <w:sz w:val="22"/>
          <w:szCs w:val="22"/>
        </w:rPr>
        <w:t>uture activities of the charity</w:t>
      </w:r>
      <w:r w:rsidRPr="00DD4FD7">
        <w:rPr>
          <w:rFonts w:ascii="Arial" w:hAnsi="Arial" w:cs="Arial"/>
          <w:sz w:val="22"/>
          <w:szCs w:val="22"/>
        </w:rPr>
        <w:t>.</w:t>
      </w:r>
    </w:p>
    <w:p w:rsidR="006C6328" w:rsidRPr="00DD4FD7" w:rsidRDefault="006C6328" w:rsidP="006C6328">
      <w:pPr>
        <w:pStyle w:val="Heading2"/>
        <w:rPr>
          <w:color w:val="auto"/>
        </w:rPr>
      </w:pPr>
      <w:r w:rsidRPr="00DD4FD7">
        <w:rPr>
          <w:color w:val="auto"/>
        </w:rPr>
        <w:t>Principle 1 Personal data shall be acquired and held fairly and lawfully.</w:t>
      </w:r>
    </w:p>
    <w:p w:rsidR="006C6328" w:rsidRPr="00DD4FD7" w:rsidRDefault="006C6328" w:rsidP="006C6328">
      <w:pPr>
        <w:rPr>
          <w:rFonts w:ascii="Arial" w:hAnsi="Arial" w:cs="Arial"/>
          <w:sz w:val="22"/>
          <w:szCs w:val="22"/>
        </w:rPr>
      </w:pPr>
      <w:r w:rsidRPr="00DD4FD7">
        <w:rPr>
          <w:rFonts w:ascii="Arial" w:hAnsi="Arial" w:cs="Arial"/>
          <w:sz w:val="22"/>
          <w:szCs w:val="22"/>
        </w:rPr>
        <w:t>People completing the following forms must understand why the information is being re</w:t>
      </w:r>
      <w:r w:rsidR="00C944D4" w:rsidRPr="00DD4FD7">
        <w:rPr>
          <w:rFonts w:ascii="Arial" w:hAnsi="Arial" w:cs="Arial"/>
          <w:sz w:val="22"/>
          <w:szCs w:val="22"/>
        </w:rPr>
        <w:t>quested and how it will be used:</w:t>
      </w:r>
    </w:p>
    <w:p w:rsidR="00C944D4" w:rsidRPr="00DD4FD7" w:rsidRDefault="006477A3" w:rsidP="006477A3">
      <w:pPr>
        <w:pStyle w:val="ListParagraph"/>
        <w:numPr>
          <w:ilvl w:val="0"/>
          <w:numId w:val="10"/>
        </w:numPr>
        <w:rPr>
          <w:rFonts w:ascii="Arial" w:hAnsi="Arial" w:cs="Arial"/>
          <w:sz w:val="22"/>
          <w:szCs w:val="22"/>
        </w:rPr>
      </w:pPr>
      <w:r w:rsidRPr="00DD4FD7">
        <w:rPr>
          <w:rFonts w:ascii="Arial" w:hAnsi="Arial" w:cs="Arial"/>
          <w:sz w:val="22"/>
          <w:szCs w:val="22"/>
        </w:rPr>
        <w:t>m</w:t>
      </w:r>
      <w:r w:rsidR="00C944D4" w:rsidRPr="00DD4FD7">
        <w:rPr>
          <w:rFonts w:ascii="Arial" w:hAnsi="Arial" w:cs="Arial"/>
          <w:sz w:val="22"/>
          <w:szCs w:val="22"/>
        </w:rPr>
        <w:t>embership forms</w:t>
      </w:r>
    </w:p>
    <w:p w:rsidR="00C944D4" w:rsidRPr="00DD4FD7" w:rsidRDefault="00C944D4" w:rsidP="006477A3">
      <w:pPr>
        <w:pStyle w:val="ListParagraph"/>
        <w:numPr>
          <w:ilvl w:val="0"/>
          <w:numId w:val="10"/>
        </w:numPr>
        <w:rPr>
          <w:rFonts w:ascii="Arial" w:hAnsi="Arial" w:cs="Arial"/>
          <w:sz w:val="22"/>
          <w:szCs w:val="22"/>
        </w:rPr>
      </w:pPr>
      <w:r w:rsidRPr="00DD4FD7">
        <w:rPr>
          <w:rFonts w:ascii="Arial" w:hAnsi="Arial" w:cs="Arial"/>
          <w:sz w:val="22"/>
          <w:szCs w:val="22"/>
        </w:rPr>
        <w:t xml:space="preserve">employee </w:t>
      </w:r>
      <w:r w:rsidR="006477A3" w:rsidRPr="00DD4FD7">
        <w:rPr>
          <w:rFonts w:ascii="Arial" w:hAnsi="Arial" w:cs="Arial"/>
          <w:sz w:val="22"/>
          <w:szCs w:val="22"/>
        </w:rPr>
        <w:t>records</w:t>
      </w:r>
    </w:p>
    <w:p w:rsidR="006477A3" w:rsidRPr="00DD4FD7" w:rsidRDefault="006477A3" w:rsidP="006477A3">
      <w:pPr>
        <w:pStyle w:val="ListParagraph"/>
        <w:numPr>
          <w:ilvl w:val="0"/>
          <w:numId w:val="10"/>
        </w:numPr>
        <w:rPr>
          <w:rFonts w:ascii="Arial" w:hAnsi="Arial" w:cs="Arial"/>
          <w:sz w:val="22"/>
          <w:szCs w:val="22"/>
        </w:rPr>
      </w:pPr>
      <w:r w:rsidRPr="00DD4FD7">
        <w:rPr>
          <w:rFonts w:ascii="Arial" w:hAnsi="Arial" w:cs="Arial"/>
          <w:sz w:val="22"/>
          <w:szCs w:val="22"/>
        </w:rPr>
        <w:t>audition forms</w:t>
      </w:r>
    </w:p>
    <w:p w:rsidR="006477A3" w:rsidRPr="00DD4FD7" w:rsidRDefault="006477A3" w:rsidP="006477A3">
      <w:pPr>
        <w:pStyle w:val="ListParagraph"/>
        <w:numPr>
          <w:ilvl w:val="0"/>
          <w:numId w:val="10"/>
        </w:numPr>
        <w:rPr>
          <w:rFonts w:ascii="Arial" w:hAnsi="Arial" w:cs="Arial"/>
          <w:sz w:val="22"/>
          <w:szCs w:val="22"/>
        </w:rPr>
      </w:pPr>
      <w:r w:rsidRPr="00DD4FD7">
        <w:rPr>
          <w:rFonts w:ascii="Arial" w:hAnsi="Arial" w:cs="Arial"/>
          <w:sz w:val="22"/>
          <w:szCs w:val="22"/>
        </w:rPr>
        <w:t>parental forms for youth members’ licence applications</w:t>
      </w:r>
    </w:p>
    <w:p w:rsidR="006477A3" w:rsidRPr="00DD4FD7" w:rsidRDefault="006477A3" w:rsidP="006477A3">
      <w:pPr>
        <w:pStyle w:val="ListParagraph"/>
        <w:numPr>
          <w:ilvl w:val="0"/>
          <w:numId w:val="10"/>
        </w:numPr>
        <w:rPr>
          <w:rFonts w:ascii="Arial" w:hAnsi="Arial" w:cs="Arial"/>
          <w:sz w:val="22"/>
          <w:szCs w:val="22"/>
        </w:rPr>
      </w:pPr>
      <w:r w:rsidRPr="00DD4FD7">
        <w:rPr>
          <w:rFonts w:ascii="Arial" w:hAnsi="Arial" w:cs="Arial"/>
          <w:sz w:val="22"/>
          <w:szCs w:val="22"/>
        </w:rPr>
        <w:t>parental permission forms for publicity material</w:t>
      </w:r>
    </w:p>
    <w:p w:rsidR="006477A3" w:rsidRPr="00DD4FD7" w:rsidRDefault="006477A3" w:rsidP="006477A3">
      <w:pPr>
        <w:pStyle w:val="ListParagraph"/>
        <w:numPr>
          <w:ilvl w:val="0"/>
          <w:numId w:val="10"/>
        </w:numPr>
        <w:rPr>
          <w:rFonts w:ascii="Arial" w:hAnsi="Arial" w:cs="Arial"/>
          <w:sz w:val="22"/>
          <w:szCs w:val="22"/>
        </w:rPr>
      </w:pPr>
      <w:r w:rsidRPr="00DD4FD7">
        <w:rPr>
          <w:rFonts w:ascii="Arial" w:hAnsi="Arial" w:cs="Arial"/>
          <w:sz w:val="22"/>
          <w:szCs w:val="22"/>
        </w:rPr>
        <w:t>parental emergency contact details</w:t>
      </w:r>
    </w:p>
    <w:p w:rsidR="006477A3" w:rsidRPr="00DD4FD7" w:rsidRDefault="006477A3" w:rsidP="006477A3">
      <w:pPr>
        <w:pStyle w:val="ListParagraph"/>
        <w:numPr>
          <w:ilvl w:val="0"/>
          <w:numId w:val="10"/>
        </w:numPr>
        <w:rPr>
          <w:rFonts w:ascii="Arial" w:hAnsi="Arial" w:cs="Arial"/>
          <w:sz w:val="22"/>
          <w:szCs w:val="22"/>
        </w:rPr>
      </w:pPr>
      <w:proofErr w:type="gramStart"/>
      <w:r w:rsidRPr="00DD4FD7">
        <w:rPr>
          <w:rFonts w:ascii="Arial" w:hAnsi="Arial" w:cs="Arial"/>
          <w:sz w:val="22"/>
          <w:szCs w:val="22"/>
        </w:rPr>
        <w:t>children’s</w:t>
      </w:r>
      <w:proofErr w:type="gramEnd"/>
      <w:r w:rsidRPr="00DD4FD7">
        <w:rPr>
          <w:rFonts w:ascii="Arial" w:hAnsi="Arial" w:cs="Arial"/>
          <w:sz w:val="22"/>
          <w:szCs w:val="22"/>
        </w:rPr>
        <w:t xml:space="preserve"> registers for rehearsals and shows.</w:t>
      </w:r>
    </w:p>
    <w:p w:rsidR="006477A3" w:rsidRPr="00DD4FD7" w:rsidRDefault="006477A3" w:rsidP="00C944D4">
      <w:pPr>
        <w:rPr>
          <w:rFonts w:ascii="Arial" w:hAnsi="Arial" w:cs="Arial"/>
          <w:sz w:val="22"/>
          <w:szCs w:val="22"/>
        </w:rPr>
      </w:pPr>
    </w:p>
    <w:p w:rsidR="006C6328" w:rsidRPr="00DD4FD7" w:rsidRDefault="006C6328" w:rsidP="006477A3">
      <w:pPr>
        <w:rPr>
          <w:rFonts w:ascii="Arial" w:hAnsi="Arial" w:cs="Arial"/>
          <w:sz w:val="22"/>
          <w:szCs w:val="22"/>
        </w:rPr>
      </w:pPr>
      <w:r w:rsidRPr="00DD4FD7">
        <w:rPr>
          <w:rFonts w:ascii="Arial" w:hAnsi="Arial" w:cs="Arial"/>
          <w:sz w:val="22"/>
          <w:szCs w:val="22"/>
        </w:rPr>
        <w:t>This also applies to photographs taken and any records from security cameras.</w:t>
      </w:r>
    </w:p>
    <w:p w:rsidR="006C6328" w:rsidRPr="00DD4FD7" w:rsidRDefault="006C6328" w:rsidP="006C6328">
      <w:pPr>
        <w:rPr>
          <w:rFonts w:ascii="Arial" w:hAnsi="Arial" w:cs="Arial"/>
          <w:sz w:val="22"/>
          <w:szCs w:val="22"/>
        </w:rPr>
      </w:pPr>
    </w:p>
    <w:p w:rsidR="006C6328" w:rsidRPr="00DD4FD7" w:rsidRDefault="006C6328" w:rsidP="006C6328">
      <w:pPr>
        <w:rPr>
          <w:rFonts w:ascii="Arial" w:hAnsi="Arial" w:cs="Arial"/>
          <w:sz w:val="22"/>
          <w:szCs w:val="22"/>
        </w:rPr>
      </w:pPr>
      <w:r w:rsidRPr="00DD4FD7">
        <w:rPr>
          <w:rFonts w:ascii="Arial" w:hAnsi="Arial" w:cs="Arial"/>
          <w:sz w:val="22"/>
          <w:szCs w:val="22"/>
        </w:rPr>
        <w:t>Medical information, classed under the Act as sensitive personal data, is held with the explicit, written, consent of the individual and with their vital interests in mind e.g. so that urgent medical attention can be given.</w:t>
      </w:r>
    </w:p>
    <w:p w:rsidR="006C6328" w:rsidRPr="00DD4FD7" w:rsidRDefault="006C6328" w:rsidP="006C6328">
      <w:pPr>
        <w:pStyle w:val="Heading2"/>
        <w:rPr>
          <w:color w:val="auto"/>
        </w:rPr>
      </w:pPr>
      <w:r w:rsidRPr="00DD4FD7">
        <w:rPr>
          <w:color w:val="auto"/>
        </w:rPr>
        <w:t>Principle 2 Personal data will only be used for the specific purpose for which it is held</w:t>
      </w:r>
    </w:p>
    <w:p w:rsidR="006C6328" w:rsidRPr="00DD4FD7" w:rsidRDefault="006C6328" w:rsidP="006C6328">
      <w:pPr>
        <w:rPr>
          <w:rFonts w:ascii="Arial" w:hAnsi="Arial" w:cs="Arial"/>
          <w:sz w:val="22"/>
          <w:szCs w:val="22"/>
        </w:rPr>
      </w:pPr>
      <w:r w:rsidRPr="00DD4FD7">
        <w:rPr>
          <w:rFonts w:ascii="Arial" w:hAnsi="Arial" w:cs="Arial"/>
          <w:sz w:val="22"/>
          <w:szCs w:val="22"/>
        </w:rPr>
        <w:t xml:space="preserve">Personal data held by </w:t>
      </w:r>
      <w:r w:rsidR="00C944D4" w:rsidRPr="00DD4FD7">
        <w:rPr>
          <w:rFonts w:ascii="Arial" w:hAnsi="Arial" w:cs="Arial"/>
          <w:sz w:val="22"/>
          <w:szCs w:val="22"/>
        </w:rPr>
        <w:t>AMTC</w:t>
      </w:r>
      <w:r w:rsidRPr="00DD4FD7">
        <w:rPr>
          <w:rFonts w:ascii="Arial" w:hAnsi="Arial" w:cs="Arial"/>
          <w:sz w:val="22"/>
          <w:szCs w:val="22"/>
        </w:rPr>
        <w:t xml:space="preserve"> will not be used for any purpose additional to or different from that for which it was requested, without the agreement of the individual to whom the data refers e.g. provided to an external body.</w:t>
      </w:r>
    </w:p>
    <w:p w:rsidR="006C6328" w:rsidRPr="00DD4FD7" w:rsidRDefault="006C6328" w:rsidP="006C6328">
      <w:pPr>
        <w:pStyle w:val="Heading2"/>
        <w:rPr>
          <w:color w:val="auto"/>
        </w:rPr>
      </w:pPr>
      <w:r w:rsidRPr="00DD4FD7">
        <w:rPr>
          <w:color w:val="auto"/>
        </w:rPr>
        <w:lastRenderedPageBreak/>
        <w:t>Principle 3 Personal data held will be adequate for the purpose for which it is used.</w:t>
      </w:r>
    </w:p>
    <w:p w:rsidR="006C6328" w:rsidRPr="00DD4FD7" w:rsidRDefault="006C6328" w:rsidP="006C6328">
      <w:pPr>
        <w:rPr>
          <w:rFonts w:ascii="Arial" w:hAnsi="Arial" w:cs="Arial"/>
          <w:sz w:val="22"/>
          <w:szCs w:val="22"/>
        </w:rPr>
      </w:pPr>
      <w:r w:rsidRPr="00DD4FD7">
        <w:rPr>
          <w:rFonts w:ascii="Arial" w:hAnsi="Arial" w:cs="Arial"/>
          <w:sz w:val="22"/>
          <w:szCs w:val="22"/>
        </w:rPr>
        <w:t xml:space="preserve">Data held must be sufficient to meet the needs of </w:t>
      </w:r>
      <w:r w:rsidR="00C944D4" w:rsidRPr="00DD4FD7">
        <w:rPr>
          <w:rFonts w:ascii="Arial" w:hAnsi="Arial" w:cs="Arial"/>
          <w:sz w:val="22"/>
          <w:szCs w:val="22"/>
        </w:rPr>
        <w:t>AMTC</w:t>
      </w:r>
      <w:r w:rsidRPr="00DD4FD7">
        <w:rPr>
          <w:rFonts w:ascii="Arial" w:hAnsi="Arial" w:cs="Arial"/>
          <w:sz w:val="22"/>
          <w:szCs w:val="22"/>
        </w:rPr>
        <w:t xml:space="preserve"> in carrying out its stated objectives but not exceed those needs, e.g. the amount of medical information held on young people.</w:t>
      </w:r>
    </w:p>
    <w:p w:rsidR="006C6328" w:rsidRPr="00DD4FD7" w:rsidRDefault="006C6328" w:rsidP="006C6328">
      <w:pPr>
        <w:pStyle w:val="Heading2"/>
        <w:rPr>
          <w:color w:val="auto"/>
        </w:rPr>
      </w:pPr>
      <w:r w:rsidRPr="00DD4FD7">
        <w:rPr>
          <w:color w:val="auto"/>
        </w:rPr>
        <w:t>Principle 4 Personal data should be accurate and where necessary kept up to date.</w:t>
      </w:r>
    </w:p>
    <w:p w:rsidR="006C6328" w:rsidRPr="00DD4FD7" w:rsidRDefault="006C6328" w:rsidP="006C6328">
      <w:pPr>
        <w:rPr>
          <w:rFonts w:ascii="Arial" w:hAnsi="Arial" w:cs="Arial"/>
          <w:sz w:val="22"/>
          <w:szCs w:val="22"/>
        </w:rPr>
      </w:pPr>
      <w:r w:rsidRPr="00DD4FD7">
        <w:rPr>
          <w:rFonts w:ascii="Arial" w:hAnsi="Arial" w:cs="Arial"/>
          <w:sz w:val="22"/>
          <w:szCs w:val="22"/>
        </w:rPr>
        <w:t xml:space="preserve">The accuracy of personal data provided to </w:t>
      </w:r>
      <w:r w:rsidR="00C944D4" w:rsidRPr="00DD4FD7">
        <w:rPr>
          <w:rFonts w:ascii="Arial" w:hAnsi="Arial" w:cs="Arial"/>
          <w:sz w:val="22"/>
          <w:szCs w:val="22"/>
        </w:rPr>
        <w:t>AMTC</w:t>
      </w:r>
      <w:r w:rsidRPr="00DD4FD7">
        <w:rPr>
          <w:rFonts w:ascii="Arial" w:hAnsi="Arial" w:cs="Arial"/>
          <w:sz w:val="22"/>
          <w:szCs w:val="22"/>
        </w:rPr>
        <w:t xml:space="preserve"> should be verified by the person or their guardian or parent when joining </w:t>
      </w:r>
      <w:r w:rsidR="00C944D4" w:rsidRPr="00DD4FD7">
        <w:rPr>
          <w:rFonts w:ascii="Arial" w:hAnsi="Arial" w:cs="Arial"/>
          <w:sz w:val="22"/>
          <w:szCs w:val="22"/>
        </w:rPr>
        <w:t>AMTC</w:t>
      </w:r>
      <w:r w:rsidRPr="00DD4FD7">
        <w:rPr>
          <w:rFonts w:ascii="Arial" w:hAnsi="Arial" w:cs="Arial"/>
          <w:sz w:val="22"/>
          <w:szCs w:val="22"/>
        </w:rPr>
        <w:t xml:space="preserve">. This should also apply to personal data supplied by employees and volunteers. Once verified by the provider, </w:t>
      </w:r>
      <w:r w:rsidR="00C944D4" w:rsidRPr="00DD4FD7">
        <w:rPr>
          <w:rFonts w:ascii="Arial" w:hAnsi="Arial" w:cs="Arial"/>
          <w:sz w:val="22"/>
          <w:szCs w:val="22"/>
        </w:rPr>
        <w:t>AMTC</w:t>
      </w:r>
      <w:r w:rsidRPr="00DD4FD7">
        <w:rPr>
          <w:rFonts w:ascii="Arial" w:hAnsi="Arial" w:cs="Arial"/>
          <w:sz w:val="22"/>
          <w:szCs w:val="22"/>
        </w:rPr>
        <w:t xml:space="preserve"> is entitled to rely on the accuracy of this data. </w:t>
      </w:r>
    </w:p>
    <w:p w:rsidR="006C6328" w:rsidRPr="00DD4FD7" w:rsidRDefault="006C6328" w:rsidP="006C6328">
      <w:pPr>
        <w:rPr>
          <w:rFonts w:ascii="Arial" w:hAnsi="Arial" w:cs="Arial"/>
          <w:sz w:val="22"/>
          <w:szCs w:val="22"/>
        </w:rPr>
      </w:pPr>
      <w:r w:rsidRPr="00DD4FD7">
        <w:rPr>
          <w:rFonts w:ascii="Arial" w:hAnsi="Arial" w:cs="Arial"/>
          <w:sz w:val="22"/>
          <w:szCs w:val="22"/>
        </w:rPr>
        <w:t xml:space="preserve">Should personal data e.g. an address, change, the person, guardian, parent, employee or volunteer is responsible for notifying </w:t>
      </w:r>
      <w:r w:rsidR="00C944D4" w:rsidRPr="00DD4FD7">
        <w:rPr>
          <w:rFonts w:ascii="Arial" w:hAnsi="Arial" w:cs="Arial"/>
          <w:sz w:val="22"/>
          <w:szCs w:val="22"/>
        </w:rPr>
        <w:t>AMTC</w:t>
      </w:r>
      <w:r w:rsidRPr="00DD4FD7">
        <w:rPr>
          <w:rFonts w:ascii="Arial" w:hAnsi="Arial" w:cs="Arial"/>
          <w:sz w:val="22"/>
          <w:szCs w:val="22"/>
        </w:rPr>
        <w:t>.</w:t>
      </w:r>
    </w:p>
    <w:p w:rsidR="006C6328" w:rsidRPr="00DD4FD7" w:rsidRDefault="006C6328" w:rsidP="006C6328">
      <w:pPr>
        <w:pStyle w:val="Heading2"/>
        <w:rPr>
          <w:color w:val="auto"/>
        </w:rPr>
      </w:pPr>
      <w:r w:rsidRPr="00DD4FD7">
        <w:rPr>
          <w:color w:val="auto"/>
        </w:rPr>
        <w:t>Principle 5 Personal data will not be held any longer than is necessary.</w:t>
      </w:r>
    </w:p>
    <w:p w:rsidR="006C6328" w:rsidRPr="00DD4FD7" w:rsidRDefault="00C944D4" w:rsidP="006C6328">
      <w:pPr>
        <w:rPr>
          <w:rFonts w:ascii="Arial" w:hAnsi="Arial" w:cs="Arial"/>
          <w:sz w:val="22"/>
          <w:szCs w:val="22"/>
        </w:rPr>
      </w:pPr>
      <w:r w:rsidRPr="00DD4FD7">
        <w:rPr>
          <w:rFonts w:ascii="Arial" w:hAnsi="Arial" w:cs="Arial"/>
          <w:sz w:val="22"/>
          <w:szCs w:val="22"/>
        </w:rPr>
        <w:t>AMTC</w:t>
      </w:r>
      <w:r w:rsidR="006C6328" w:rsidRPr="00DD4FD7">
        <w:rPr>
          <w:rFonts w:ascii="Arial" w:hAnsi="Arial" w:cs="Arial"/>
          <w:sz w:val="22"/>
          <w:szCs w:val="22"/>
        </w:rPr>
        <w:t xml:space="preserve"> should decide on and state in relevant policies the various lengths of time that it will hold personal data e.g. </w:t>
      </w:r>
      <w:r w:rsidR="006477A3" w:rsidRPr="00DD4FD7">
        <w:rPr>
          <w:rFonts w:ascii="Arial" w:hAnsi="Arial" w:cs="Arial"/>
          <w:sz w:val="22"/>
          <w:szCs w:val="22"/>
        </w:rPr>
        <w:t>membership</w:t>
      </w:r>
      <w:r w:rsidR="006C6328" w:rsidRPr="00DD4FD7">
        <w:rPr>
          <w:rFonts w:ascii="Arial" w:hAnsi="Arial" w:cs="Arial"/>
          <w:sz w:val="22"/>
          <w:szCs w:val="22"/>
        </w:rPr>
        <w:t xml:space="preserve"> records. It should then </w:t>
      </w:r>
      <w:r w:rsidR="00DD4FD7">
        <w:rPr>
          <w:rFonts w:ascii="Arial" w:hAnsi="Arial" w:cs="Arial"/>
          <w:sz w:val="22"/>
          <w:szCs w:val="22"/>
        </w:rPr>
        <w:t>adhere to these time frames, e.g</w:t>
      </w:r>
      <w:r w:rsidR="006C6328" w:rsidRPr="00DD4FD7">
        <w:rPr>
          <w:rFonts w:ascii="Arial" w:hAnsi="Arial" w:cs="Arial"/>
          <w:sz w:val="22"/>
          <w:szCs w:val="22"/>
        </w:rPr>
        <w:t xml:space="preserve">. </w:t>
      </w:r>
      <w:r w:rsidR="006477A3" w:rsidRPr="00DD4FD7">
        <w:rPr>
          <w:rFonts w:ascii="Arial" w:hAnsi="Arial" w:cs="Arial"/>
          <w:sz w:val="22"/>
          <w:szCs w:val="22"/>
        </w:rPr>
        <w:t>audition</w:t>
      </w:r>
      <w:r w:rsidR="00DD4FD7">
        <w:rPr>
          <w:rFonts w:ascii="Arial" w:hAnsi="Arial" w:cs="Arial"/>
          <w:sz w:val="22"/>
          <w:szCs w:val="22"/>
        </w:rPr>
        <w:t xml:space="preserve"> forms and notes</w:t>
      </w:r>
      <w:r w:rsidR="006C6328" w:rsidRPr="00DD4FD7">
        <w:rPr>
          <w:rFonts w:ascii="Arial" w:hAnsi="Arial" w:cs="Arial"/>
          <w:sz w:val="22"/>
          <w:szCs w:val="22"/>
        </w:rPr>
        <w:t xml:space="preserve"> should not be held for more than 6 months.</w:t>
      </w:r>
    </w:p>
    <w:p w:rsidR="006C6328" w:rsidRPr="00DD4FD7" w:rsidRDefault="006C6328" w:rsidP="006C6328">
      <w:pPr>
        <w:pStyle w:val="Heading2"/>
        <w:rPr>
          <w:color w:val="auto"/>
        </w:rPr>
      </w:pPr>
      <w:r w:rsidRPr="00DD4FD7">
        <w:rPr>
          <w:color w:val="auto"/>
        </w:rPr>
        <w:t>Principle 6 Individuals have a right of access to their personal data.</w:t>
      </w:r>
    </w:p>
    <w:p w:rsidR="006C6328" w:rsidRPr="00DD4FD7" w:rsidRDefault="00C944D4" w:rsidP="006C6328">
      <w:pPr>
        <w:rPr>
          <w:rFonts w:ascii="Arial" w:hAnsi="Arial" w:cs="Arial"/>
          <w:sz w:val="22"/>
          <w:szCs w:val="22"/>
        </w:rPr>
      </w:pPr>
      <w:r w:rsidRPr="00DD4FD7">
        <w:rPr>
          <w:rFonts w:ascii="Arial" w:hAnsi="Arial" w:cs="Arial"/>
          <w:sz w:val="22"/>
          <w:szCs w:val="22"/>
        </w:rPr>
        <w:t>AMTC</w:t>
      </w:r>
      <w:r w:rsidR="006C6328" w:rsidRPr="00DD4FD7">
        <w:rPr>
          <w:rFonts w:ascii="Arial" w:hAnsi="Arial" w:cs="Arial"/>
          <w:sz w:val="22"/>
          <w:szCs w:val="22"/>
        </w:rPr>
        <w:t xml:space="preserve"> has a legal requirement to provide individuals with copy of any of their own personal data that it holds. This must be easily understood and in a written format.</w:t>
      </w:r>
    </w:p>
    <w:p w:rsidR="006C6328" w:rsidRPr="00DD4FD7" w:rsidRDefault="006C6328" w:rsidP="006C6328">
      <w:pPr>
        <w:pStyle w:val="Heading2"/>
        <w:rPr>
          <w:color w:val="auto"/>
        </w:rPr>
      </w:pPr>
      <w:r w:rsidRPr="00DD4FD7">
        <w:rPr>
          <w:color w:val="auto"/>
        </w:rPr>
        <w:t>Principle 7 Personal data must be held securely.</w:t>
      </w:r>
    </w:p>
    <w:p w:rsidR="006C6328" w:rsidRPr="00DD4FD7" w:rsidRDefault="00C944D4" w:rsidP="006C6328">
      <w:pPr>
        <w:rPr>
          <w:rFonts w:ascii="Arial" w:hAnsi="Arial" w:cs="Arial"/>
          <w:sz w:val="22"/>
          <w:szCs w:val="22"/>
        </w:rPr>
      </w:pPr>
      <w:r w:rsidRPr="00DD4FD7">
        <w:rPr>
          <w:rFonts w:ascii="Arial" w:hAnsi="Arial" w:cs="Arial"/>
          <w:sz w:val="22"/>
          <w:szCs w:val="22"/>
        </w:rPr>
        <w:t>AMTC</w:t>
      </w:r>
      <w:r w:rsidR="006C6328" w:rsidRPr="00DD4FD7">
        <w:rPr>
          <w:rFonts w:ascii="Arial" w:hAnsi="Arial" w:cs="Arial"/>
          <w:sz w:val="22"/>
          <w:szCs w:val="22"/>
        </w:rPr>
        <w:t xml:space="preserve"> observes the following standards:</w:t>
      </w:r>
    </w:p>
    <w:p w:rsidR="006C6328" w:rsidRPr="00DD4FD7" w:rsidRDefault="006C6328" w:rsidP="00B619AE">
      <w:pPr>
        <w:pStyle w:val="ListParagraph"/>
        <w:numPr>
          <w:ilvl w:val="0"/>
          <w:numId w:val="10"/>
        </w:numPr>
        <w:rPr>
          <w:rFonts w:ascii="Arial" w:hAnsi="Arial" w:cs="Arial"/>
          <w:sz w:val="22"/>
          <w:szCs w:val="22"/>
        </w:rPr>
      </w:pPr>
      <w:r w:rsidRPr="00DD4FD7">
        <w:rPr>
          <w:rFonts w:ascii="Arial" w:hAnsi="Arial" w:cs="Arial"/>
          <w:sz w:val="22"/>
          <w:szCs w:val="22"/>
        </w:rPr>
        <w:t>all paper copies must be kept secure and under supervision</w:t>
      </w:r>
    </w:p>
    <w:p w:rsidR="006C6328" w:rsidRPr="00DD4FD7" w:rsidRDefault="006477A3" w:rsidP="00B619AE">
      <w:pPr>
        <w:pStyle w:val="ListParagraph"/>
        <w:numPr>
          <w:ilvl w:val="0"/>
          <w:numId w:val="10"/>
        </w:numPr>
        <w:rPr>
          <w:rFonts w:ascii="Arial" w:hAnsi="Arial" w:cs="Arial"/>
          <w:sz w:val="22"/>
          <w:szCs w:val="22"/>
        </w:rPr>
      </w:pPr>
      <w:r w:rsidRPr="00DD4FD7">
        <w:rPr>
          <w:rFonts w:ascii="Arial" w:hAnsi="Arial" w:cs="Arial"/>
          <w:sz w:val="22"/>
          <w:szCs w:val="22"/>
        </w:rPr>
        <w:t>personal notes e.g. from an audition</w:t>
      </w:r>
      <w:r w:rsidR="006C6328" w:rsidRPr="00DD4FD7">
        <w:rPr>
          <w:rFonts w:ascii="Arial" w:hAnsi="Arial" w:cs="Arial"/>
          <w:sz w:val="22"/>
          <w:szCs w:val="22"/>
        </w:rPr>
        <w:t xml:space="preserve"> should be stored securely or shredded</w:t>
      </w:r>
    </w:p>
    <w:p w:rsidR="006C6328" w:rsidRPr="00DD4FD7" w:rsidRDefault="001C6025" w:rsidP="00B619AE">
      <w:pPr>
        <w:pStyle w:val="ListParagraph"/>
        <w:numPr>
          <w:ilvl w:val="0"/>
          <w:numId w:val="10"/>
        </w:numPr>
        <w:rPr>
          <w:rFonts w:ascii="Arial" w:hAnsi="Arial" w:cs="Arial"/>
          <w:sz w:val="22"/>
          <w:szCs w:val="22"/>
        </w:rPr>
      </w:pPr>
      <w:r w:rsidRPr="00DD4FD7">
        <w:rPr>
          <w:rFonts w:ascii="Arial" w:hAnsi="Arial" w:cs="Arial"/>
          <w:sz w:val="22"/>
          <w:szCs w:val="22"/>
        </w:rPr>
        <w:t>discipline records</w:t>
      </w:r>
      <w:r w:rsidR="006C6328" w:rsidRPr="00DD4FD7">
        <w:rPr>
          <w:rFonts w:ascii="Arial" w:hAnsi="Arial" w:cs="Arial"/>
          <w:sz w:val="22"/>
          <w:szCs w:val="22"/>
        </w:rPr>
        <w:t xml:space="preserve"> must be kept under supervision</w:t>
      </w:r>
    </w:p>
    <w:p w:rsidR="006C6328" w:rsidRPr="00DD4FD7" w:rsidRDefault="006C6328" w:rsidP="00B619AE">
      <w:pPr>
        <w:pStyle w:val="ListParagraph"/>
        <w:numPr>
          <w:ilvl w:val="0"/>
          <w:numId w:val="10"/>
        </w:numPr>
        <w:rPr>
          <w:rFonts w:ascii="Arial" w:hAnsi="Arial" w:cs="Arial"/>
          <w:sz w:val="22"/>
          <w:szCs w:val="22"/>
        </w:rPr>
      </w:pPr>
      <w:r w:rsidRPr="00DD4FD7">
        <w:rPr>
          <w:rFonts w:ascii="Arial" w:hAnsi="Arial" w:cs="Arial"/>
          <w:sz w:val="22"/>
          <w:szCs w:val="22"/>
        </w:rPr>
        <w:t>out of date spreadsheets must be destroyed securely</w:t>
      </w:r>
    </w:p>
    <w:p w:rsidR="006C6328" w:rsidRPr="00DD4FD7" w:rsidRDefault="006C6328" w:rsidP="00B619AE">
      <w:pPr>
        <w:pStyle w:val="ListParagraph"/>
        <w:numPr>
          <w:ilvl w:val="0"/>
          <w:numId w:val="10"/>
        </w:numPr>
        <w:rPr>
          <w:rFonts w:ascii="Arial" w:hAnsi="Arial" w:cs="Arial"/>
          <w:sz w:val="22"/>
          <w:szCs w:val="22"/>
        </w:rPr>
      </w:pPr>
      <w:r w:rsidRPr="00DD4FD7">
        <w:rPr>
          <w:rFonts w:ascii="Arial" w:hAnsi="Arial" w:cs="Arial"/>
          <w:sz w:val="22"/>
          <w:szCs w:val="22"/>
        </w:rPr>
        <w:t>personal data, especially medical details, must only be shared on a need to know basis</w:t>
      </w:r>
    </w:p>
    <w:p w:rsidR="00B619AE" w:rsidRPr="00DD4FD7" w:rsidRDefault="006C6328" w:rsidP="00B619AE">
      <w:pPr>
        <w:pStyle w:val="ListParagraph"/>
        <w:numPr>
          <w:ilvl w:val="0"/>
          <w:numId w:val="10"/>
        </w:numPr>
        <w:rPr>
          <w:rFonts w:ascii="Arial" w:hAnsi="Arial" w:cs="Arial"/>
          <w:sz w:val="22"/>
          <w:szCs w:val="22"/>
        </w:rPr>
      </w:pPr>
      <w:r w:rsidRPr="00DD4FD7">
        <w:rPr>
          <w:rFonts w:ascii="Arial" w:hAnsi="Arial" w:cs="Arial"/>
          <w:sz w:val="22"/>
          <w:szCs w:val="22"/>
        </w:rPr>
        <w:t>one central database should be maintained for a particular set of records and should be maintained by a nominated person who will be responsible for its security</w:t>
      </w:r>
    </w:p>
    <w:p w:rsidR="00B619AE" w:rsidRPr="00DD4FD7" w:rsidRDefault="006C6328" w:rsidP="00B619AE">
      <w:pPr>
        <w:pStyle w:val="ListParagraph"/>
        <w:numPr>
          <w:ilvl w:val="0"/>
          <w:numId w:val="10"/>
        </w:numPr>
        <w:rPr>
          <w:rFonts w:ascii="Arial" w:hAnsi="Arial" w:cs="Arial"/>
          <w:sz w:val="22"/>
          <w:szCs w:val="22"/>
        </w:rPr>
      </w:pPr>
      <w:r w:rsidRPr="00DD4FD7">
        <w:rPr>
          <w:rFonts w:ascii="Arial" w:hAnsi="Arial" w:cs="Arial"/>
          <w:sz w:val="22"/>
          <w:szCs w:val="22"/>
        </w:rPr>
        <w:t xml:space="preserve">employees and </w:t>
      </w:r>
      <w:r w:rsidR="006477A3" w:rsidRPr="00DD4FD7">
        <w:rPr>
          <w:rFonts w:ascii="Arial" w:hAnsi="Arial" w:cs="Arial"/>
          <w:sz w:val="22"/>
          <w:szCs w:val="22"/>
        </w:rPr>
        <w:t>trustees</w:t>
      </w:r>
      <w:r w:rsidRPr="00DD4FD7">
        <w:rPr>
          <w:rFonts w:ascii="Arial" w:hAnsi="Arial" w:cs="Arial"/>
          <w:sz w:val="22"/>
          <w:szCs w:val="22"/>
        </w:rPr>
        <w:t xml:space="preserve"> must read this policy and </w:t>
      </w:r>
      <w:r w:rsidR="00DD4FD7">
        <w:rPr>
          <w:rFonts w:ascii="Arial" w:hAnsi="Arial" w:cs="Arial"/>
          <w:sz w:val="22"/>
          <w:szCs w:val="22"/>
        </w:rPr>
        <w:t>provide written confirmation</w:t>
      </w:r>
      <w:bookmarkStart w:id="0" w:name="_GoBack"/>
      <w:bookmarkEnd w:id="0"/>
      <w:r w:rsidRPr="00DD4FD7">
        <w:rPr>
          <w:rFonts w:ascii="Arial" w:hAnsi="Arial" w:cs="Arial"/>
          <w:sz w:val="22"/>
          <w:szCs w:val="22"/>
        </w:rPr>
        <w:t xml:space="preserve"> to say that they have understood it</w:t>
      </w:r>
    </w:p>
    <w:p w:rsidR="006C6328" w:rsidRPr="00DD4FD7" w:rsidRDefault="00B619AE" w:rsidP="00B619AE">
      <w:pPr>
        <w:pStyle w:val="ListParagraph"/>
        <w:numPr>
          <w:ilvl w:val="0"/>
          <w:numId w:val="12"/>
        </w:numPr>
        <w:rPr>
          <w:rFonts w:ascii="Arial" w:hAnsi="Arial" w:cs="Arial"/>
          <w:sz w:val="22"/>
          <w:szCs w:val="22"/>
        </w:rPr>
      </w:pPr>
      <w:proofErr w:type="gramStart"/>
      <w:r w:rsidRPr="00DD4FD7">
        <w:rPr>
          <w:rFonts w:ascii="Arial" w:hAnsi="Arial" w:cs="Arial"/>
          <w:sz w:val="22"/>
          <w:szCs w:val="22"/>
        </w:rPr>
        <w:t>this</w:t>
      </w:r>
      <w:proofErr w:type="gramEnd"/>
      <w:r w:rsidRPr="00DD4FD7">
        <w:rPr>
          <w:rFonts w:ascii="Arial" w:hAnsi="Arial" w:cs="Arial"/>
          <w:sz w:val="22"/>
          <w:szCs w:val="22"/>
        </w:rPr>
        <w:t xml:space="preserve"> policy must be publicised on the AMTC website</w:t>
      </w:r>
      <w:r w:rsidR="006C6328" w:rsidRPr="00DD4FD7">
        <w:rPr>
          <w:rFonts w:ascii="Arial" w:hAnsi="Arial" w:cs="Arial"/>
          <w:sz w:val="22"/>
          <w:szCs w:val="22"/>
        </w:rPr>
        <w:t>.</w:t>
      </w:r>
    </w:p>
    <w:p w:rsidR="006C6328" w:rsidRPr="00DD4FD7" w:rsidRDefault="006C6328" w:rsidP="006C6328">
      <w:pPr>
        <w:pStyle w:val="Heading2"/>
        <w:rPr>
          <w:color w:val="auto"/>
        </w:rPr>
      </w:pPr>
      <w:r w:rsidRPr="00DD4FD7">
        <w:rPr>
          <w:color w:val="auto"/>
        </w:rPr>
        <w:t>Principle 8 Personal data must not be transferred to a country not affording a similar level of protection</w:t>
      </w:r>
    </w:p>
    <w:p w:rsidR="006C6328" w:rsidRPr="00DD4FD7" w:rsidRDefault="00C944D4" w:rsidP="006C6328">
      <w:pPr>
        <w:rPr>
          <w:rFonts w:ascii="Arial" w:hAnsi="Arial" w:cs="Arial"/>
          <w:sz w:val="22"/>
          <w:szCs w:val="22"/>
        </w:rPr>
      </w:pPr>
      <w:r w:rsidRPr="00DD4FD7">
        <w:rPr>
          <w:rFonts w:ascii="Arial" w:hAnsi="Arial" w:cs="Arial"/>
          <w:sz w:val="22"/>
          <w:szCs w:val="22"/>
        </w:rPr>
        <w:t>AMTC</w:t>
      </w:r>
      <w:r w:rsidR="006C6328" w:rsidRPr="00DD4FD7">
        <w:rPr>
          <w:rFonts w:ascii="Arial" w:hAnsi="Arial" w:cs="Arial"/>
          <w:sz w:val="22"/>
          <w:szCs w:val="22"/>
        </w:rPr>
        <w:t xml:space="preserve"> employees and </w:t>
      </w:r>
      <w:r w:rsidR="006477A3" w:rsidRPr="00DD4FD7">
        <w:rPr>
          <w:rFonts w:ascii="Arial" w:hAnsi="Arial" w:cs="Arial"/>
          <w:sz w:val="22"/>
          <w:szCs w:val="22"/>
        </w:rPr>
        <w:t>trustees</w:t>
      </w:r>
      <w:r w:rsidR="006C6328" w:rsidRPr="00DD4FD7">
        <w:rPr>
          <w:rFonts w:ascii="Arial" w:hAnsi="Arial" w:cs="Arial"/>
          <w:sz w:val="22"/>
          <w:szCs w:val="22"/>
        </w:rPr>
        <w:t xml:space="preserve"> will not take or send the personal details of members to a country not giving the same level of protection to data as that in the UK e.g. accidentally taking a copy of the database, loaded on a personal IT device.</w:t>
      </w:r>
    </w:p>
    <w:p w:rsidR="006C6328" w:rsidRPr="00DD4FD7" w:rsidRDefault="006C6328" w:rsidP="006C6328">
      <w:pPr>
        <w:rPr>
          <w:rFonts w:ascii="Arial" w:hAnsi="Arial" w:cs="Arial"/>
          <w:sz w:val="22"/>
          <w:szCs w:val="22"/>
        </w:rPr>
      </w:pPr>
    </w:p>
    <w:sectPr w:rsidR="006C6328" w:rsidRPr="00DD4FD7" w:rsidSect="006477A3">
      <w:headerReference w:type="default" r:id="rId8"/>
      <w:footerReference w:type="default" r:id="rId9"/>
      <w:pgSz w:w="12240" w:h="15840"/>
      <w:pgMar w:top="1080" w:right="9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5D" w:rsidRDefault="000D4A5D" w:rsidP="00AC2A93">
      <w:r>
        <w:separator/>
      </w:r>
    </w:p>
  </w:endnote>
  <w:endnote w:type="continuationSeparator" w:id="0">
    <w:p w:rsidR="000D4A5D" w:rsidRDefault="000D4A5D" w:rsidP="00AC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25" w:rsidRPr="00A740A8" w:rsidRDefault="00C944D4">
    <w:pPr>
      <w:tabs>
        <w:tab w:val="center" w:pos="4320"/>
        <w:tab w:val="right" w:pos="8640"/>
      </w:tabs>
      <w:rPr>
        <w:rFonts w:ascii="Arial" w:hAnsi="Arial" w:cs="Arial"/>
        <w:kern w:val="0"/>
        <w:sz w:val="15"/>
        <w:szCs w:val="15"/>
      </w:rPr>
    </w:pPr>
    <w:r>
      <w:rPr>
        <w:rFonts w:ascii="Arial" w:hAnsi="Arial" w:cs="Arial"/>
        <w:kern w:val="0"/>
        <w:sz w:val="15"/>
        <w:szCs w:val="15"/>
      </w:rPr>
      <w:t>AMTC</w:t>
    </w:r>
    <w:r w:rsidR="009A33C9">
      <w:rPr>
        <w:rFonts w:ascii="Arial" w:hAnsi="Arial" w:cs="Arial"/>
        <w:kern w:val="0"/>
        <w:sz w:val="15"/>
        <w:szCs w:val="15"/>
      </w:rPr>
      <w:t xml:space="preserve"> </w:t>
    </w:r>
    <w:r w:rsidR="006C6328">
      <w:rPr>
        <w:rFonts w:ascii="Arial" w:hAnsi="Arial" w:cs="Arial"/>
        <w:kern w:val="0"/>
        <w:sz w:val="15"/>
        <w:szCs w:val="15"/>
      </w:rPr>
      <w:t>DP</w:t>
    </w:r>
    <w:r w:rsidR="00D32A83">
      <w:rPr>
        <w:rFonts w:ascii="Arial" w:hAnsi="Arial" w:cs="Arial"/>
        <w:kern w:val="0"/>
        <w:sz w:val="15"/>
        <w:szCs w:val="15"/>
      </w:rPr>
      <w:t xml:space="preserve"> </w:t>
    </w:r>
    <w:r w:rsidR="005F72DB" w:rsidRPr="00A740A8">
      <w:rPr>
        <w:rFonts w:ascii="Arial" w:hAnsi="Arial" w:cs="Arial"/>
        <w:kern w:val="0"/>
        <w:sz w:val="15"/>
        <w:szCs w:val="15"/>
      </w:rPr>
      <w:t>policy</w:t>
    </w:r>
    <w:r w:rsidR="005F72DB" w:rsidRPr="00A740A8">
      <w:rPr>
        <w:rFonts w:ascii="Arial" w:hAnsi="Arial" w:cs="Arial"/>
        <w:kern w:val="0"/>
        <w:sz w:val="15"/>
        <w:szCs w:val="15"/>
      </w:rPr>
      <w:tab/>
    </w:r>
    <w:r w:rsidR="00D32A83">
      <w:rPr>
        <w:rFonts w:ascii="Arial" w:hAnsi="Arial" w:cs="Arial"/>
        <w:kern w:val="0"/>
        <w:sz w:val="15"/>
        <w:szCs w:val="15"/>
      </w:rPr>
      <w:fldChar w:fldCharType="begin"/>
    </w:r>
    <w:r w:rsidR="00D32A83">
      <w:rPr>
        <w:rFonts w:ascii="Arial" w:hAnsi="Arial" w:cs="Arial"/>
        <w:kern w:val="0"/>
        <w:sz w:val="15"/>
        <w:szCs w:val="15"/>
      </w:rPr>
      <w:instrText xml:space="preserve"> PAGE   \* MERGEFORMAT </w:instrText>
    </w:r>
    <w:r w:rsidR="00D32A83">
      <w:rPr>
        <w:rFonts w:ascii="Arial" w:hAnsi="Arial" w:cs="Arial"/>
        <w:kern w:val="0"/>
        <w:sz w:val="15"/>
        <w:szCs w:val="15"/>
      </w:rPr>
      <w:fldChar w:fldCharType="separate"/>
    </w:r>
    <w:r w:rsidR="00DD4FD7">
      <w:rPr>
        <w:rFonts w:ascii="Arial" w:hAnsi="Arial" w:cs="Arial"/>
        <w:noProof/>
        <w:kern w:val="0"/>
        <w:sz w:val="15"/>
        <w:szCs w:val="15"/>
      </w:rPr>
      <w:t>2</w:t>
    </w:r>
    <w:r w:rsidR="00D32A83">
      <w:rPr>
        <w:rFonts w:ascii="Arial" w:hAnsi="Arial" w:cs="Arial"/>
        <w:kern w:val="0"/>
        <w:sz w:val="15"/>
        <w:szCs w:val="15"/>
      </w:rPr>
      <w:fldChar w:fldCharType="end"/>
    </w:r>
    <w:r w:rsidR="00D32A83">
      <w:rPr>
        <w:rFonts w:ascii="Arial" w:hAnsi="Arial" w:cs="Arial"/>
        <w:kern w:val="0"/>
        <w:sz w:val="15"/>
        <w:szCs w:val="15"/>
      </w:rPr>
      <w:t xml:space="preserve"> of </w:t>
    </w:r>
    <w:r w:rsidR="00D32A83">
      <w:rPr>
        <w:rFonts w:ascii="Arial" w:hAnsi="Arial" w:cs="Arial"/>
        <w:kern w:val="0"/>
        <w:sz w:val="15"/>
        <w:szCs w:val="15"/>
      </w:rPr>
      <w:fldChar w:fldCharType="begin"/>
    </w:r>
    <w:r w:rsidR="00D32A83">
      <w:rPr>
        <w:rFonts w:ascii="Arial" w:hAnsi="Arial" w:cs="Arial"/>
        <w:kern w:val="0"/>
        <w:sz w:val="15"/>
        <w:szCs w:val="15"/>
      </w:rPr>
      <w:instrText xml:space="preserve"> NUMPAGES   \* MERGEFORMAT </w:instrText>
    </w:r>
    <w:r w:rsidR="00D32A83">
      <w:rPr>
        <w:rFonts w:ascii="Arial" w:hAnsi="Arial" w:cs="Arial"/>
        <w:kern w:val="0"/>
        <w:sz w:val="15"/>
        <w:szCs w:val="15"/>
      </w:rPr>
      <w:fldChar w:fldCharType="separate"/>
    </w:r>
    <w:r w:rsidR="00DD4FD7">
      <w:rPr>
        <w:rFonts w:ascii="Arial" w:hAnsi="Arial" w:cs="Arial"/>
        <w:noProof/>
        <w:kern w:val="0"/>
        <w:sz w:val="15"/>
        <w:szCs w:val="15"/>
      </w:rPr>
      <w:t>2</w:t>
    </w:r>
    <w:r w:rsidR="00D32A83">
      <w:rPr>
        <w:rFonts w:ascii="Arial" w:hAnsi="Arial" w:cs="Arial"/>
        <w:kern w:val="0"/>
        <w:sz w:val="15"/>
        <w:szCs w:val="15"/>
      </w:rPr>
      <w:fldChar w:fldCharType="end"/>
    </w:r>
    <w:r w:rsidR="007C3904">
      <w:rPr>
        <w:rFonts w:ascii="Arial" w:hAnsi="Arial" w:cs="Arial"/>
        <w:kern w:val="0"/>
        <w:sz w:val="15"/>
        <w:szCs w:val="15"/>
      </w:rPr>
      <w:tab/>
    </w:r>
    <w:r w:rsidR="00DD4FD7">
      <w:rPr>
        <w:rFonts w:ascii="Arial" w:hAnsi="Arial" w:cs="Arial"/>
        <w:kern w:val="0"/>
        <w:sz w:val="15"/>
        <w:szCs w:val="15"/>
      </w:rPr>
      <w:t>V 1</w:t>
    </w:r>
  </w:p>
  <w:p w:rsidR="00BE7A25" w:rsidRPr="00A740A8" w:rsidRDefault="001C6025">
    <w:pPr>
      <w:tabs>
        <w:tab w:val="center" w:pos="4320"/>
        <w:tab w:val="right" w:pos="8640"/>
      </w:tabs>
      <w:rPr>
        <w:rFonts w:ascii="Arial" w:hAnsi="Arial" w:cs="Arial"/>
        <w:kern w:val="0"/>
        <w:sz w:val="15"/>
        <w:szCs w:val="15"/>
      </w:rPr>
    </w:pPr>
    <w:r>
      <w:rPr>
        <w:rFonts w:ascii="Arial" w:hAnsi="Arial" w:cs="Arial"/>
        <w:kern w:val="0"/>
        <w:sz w:val="15"/>
        <w:szCs w:val="15"/>
      </w:rPr>
      <w:tab/>
    </w:r>
    <w:r>
      <w:rPr>
        <w:rFonts w:ascii="Arial" w:hAnsi="Arial" w:cs="Arial"/>
        <w:kern w:val="0"/>
        <w:sz w:val="15"/>
        <w:szCs w:val="15"/>
      </w:rPr>
      <w:tab/>
    </w:r>
    <w:r w:rsidR="007C3904">
      <w:rPr>
        <w:rFonts w:ascii="Arial" w:hAnsi="Arial" w:cs="Arial"/>
        <w:kern w:val="0"/>
        <w:sz w:val="15"/>
        <w:szCs w:val="15"/>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5D" w:rsidRDefault="000D4A5D" w:rsidP="00AC2A93">
      <w:r>
        <w:separator/>
      </w:r>
    </w:p>
  </w:footnote>
  <w:footnote w:type="continuationSeparator" w:id="0">
    <w:p w:rsidR="000D4A5D" w:rsidRDefault="000D4A5D" w:rsidP="00AC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6531"/>
      <w:gridCol w:w="1987"/>
    </w:tblGrid>
    <w:tr w:rsidR="009A33C9" w:rsidRPr="00A740A8" w:rsidTr="009A33C9">
      <w:trPr>
        <w:trHeight w:val="1080"/>
      </w:trPr>
      <w:tc>
        <w:tcPr>
          <w:tcW w:w="1521" w:type="dxa"/>
          <w:shd w:val="clear" w:color="auto" w:fill="auto"/>
          <w:vAlign w:val="center"/>
        </w:tcPr>
        <w:p w:rsidR="009A33C9" w:rsidRDefault="009A33C9" w:rsidP="00D40FFF">
          <w:pPr>
            <w:rPr>
              <w:rFonts w:ascii="Arial" w:hAnsi="Arial" w:cs="Arial"/>
              <w:bCs/>
            </w:rPr>
          </w:pPr>
          <w:r>
            <w:rPr>
              <w:rFonts w:ascii="Arial" w:hAnsi="Arial" w:cs="Arial"/>
              <w:bCs/>
            </w:rPr>
            <w:t>Policy Owner:</w:t>
          </w:r>
        </w:p>
        <w:p w:rsidR="009A33C9" w:rsidRPr="00A740A8" w:rsidRDefault="009A33C9" w:rsidP="00D40FFF">
          <w:pPr>
            <w:rPr>
              <w:rFonts w:ascii="Arial" w:hAnsi="Arial" w:cs="Arial"/>
              <w:bCs/>
            </w:rPr>
          </w:pPr>
          <w:r>
            <w:rPr>
              <w:rFonts w:ascii="Arial" w:hAnsi="Arial" w:cs="Arial"/>
              <w:bCs/>
            </w:rPr>
            <w:t>Secretary</w:t>
          </w:r>
        </w:p>
      </w:tc>
      <w:tc>
        <w:tcPr>
          <w:tcW w:w="6614" w:type="dxa"/>
          <w:vMerge w:val="restart"/>
          <w:shd w:val="clear" w:color="auto" w:fill="B8CCE4" w:themeFill="accent1" w:themeFillTint="66"/>
          <w:vAlign w:val="center"/>
        </w:tcPr>
        <w:p w:rsidR="009A33C9" w:rsidRPr="00A740A8" w:rsidRDefault="009A33C9" w:rsidP="00C944D4">
          <w:pPr>
            <w:jc w:val="center"/>
            <w:rPr>
              <w:rFonts w:ascii="Arial" w:hAnsi="Arial" w:cs="Arial"/>
              <w:b/>
              <w:bCs/>
              <w:sz w:val="28"/>
              <w:szCs w:val="28"/>
            </w:rPr>
          </w:pPr>
          <w:r>
            <w:rPr>
              <w:rFonts w:ascii="Arial" w:hAnsi="Arial" w:cs="Arial"/>
              <w:b/>
              <w:bCs/>
              <w:sz w:val="28"/>
              <w:szCs w:val="28"/>
            </w:rPr>
            <w:t>DATA PROTECTION</w:t>
          </w:r>
          <w:r w:rsidRPr="00A740A8">
            <w:rPr>
              <w:rFonts w:ascii="Arial" w:hAnsi="Arial" w:cs="Arial"/>
              <w:b/>
              <w:bCs/>
              <w:sz w:val="28"/>
              <w:szCs w:val="28"/>
            </w:rPr>
            <w:t xml:space="preserve"> POLICY </w:t>
          </w:r>
          <w:r w:rsidR="00C944D4">
            <w:rPr>
              <w:rFonts w:ascii="Arial" w:hAnsi="Arial" w:cs="Arial"/>
              <w:b/>
              <w:sz w:val="28"/>
              <w:szCs w:val="28"/>
            </w:rPr>
            <w:t>FOR ANDOVER MUSICAL THEATRE COMPANY</w:t>
          </w:r>
        </w:p>
      </w:tc>
      <w:tc>
        <w:tcPr>
          <w:tcW w:w="1896" w:type="dxa"/>
          <w:vMerge w:val="restart"/>
          <w:shd w:val="clear" w:color="auto" w:fill="auto"/>
        </w:tcPr>
        <w:p w:rsidR="009A33C9" w:rsidRDefault="00DD4FD7" w:rsidP="00D40FFF">
          <w:pPr>
            <w:jc w:val="center"/>
            <w:rPr>
              <w:rFonts w:ascii="Arial" w:hAnsi="Arial" w:cs="Arial"/>
              <w:b/>
              <w:bCs/>
              <w:sz w:val="28"/>
              <w:u w:val="single"/>
            </w:rPr>
          </w:pPr>
          <w:r>
            <w:rPr>
              <w:noProof/>
              <w:lang w:eastAsia="en-GB"/>
            </w:rPr>
            <w:drawing>
              <wp:inline distT="0" distB="0" distL="0" distR="0" wp14:anchorId="76206547" wp14:editId="53DA426A">
                <wp:extent cx="1124767"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TC logo.jpg"/>
                        <pic:cNvPicPr/>
                      </pic:nvPicPr>
                      <pic:blipFill>
                        <a:blip r:embed="rId1">
                          <a:extLst>
                            <a:ext uri="{28A0092B-C50C-407E-A947-70E740481C1C}">
                              <a14:useLocalDpi xmlns:a14="http://schemas.microsoft.com/office/drawing/2010/main" val="0"/>
                            </a:ext>
                          </a:extLst>
                        </a:blip>
                        <a:stretch>
                          <a:fillRect/>
                        </a:stretch>
                      </pic:blipFill>
                      <pic:spPr>
                        <a:xfrm>
                          <a:off x="0" y="0"/>
                          <a:ext cx="1136146" cy="673495"/>
                        </a:xfrm>
                        <a:prstGeom prst="rect">
                          <a:avLst/>
                        </a:prstGeom>
                      </pic:spPr>
                    </pic:pic>
                  </a:graphicData>
                </a:graphic>
              </wp:inline>
            </w:drawing>
          </w:r>
        </w:p>
        <w:p w:rsidR="00DD4FD7" w:rsidRPr="00A740A8" w:rsidRDefault="00DD4FD7" w:rsidP="00D40FFF">
          <w:pPr>
            <w:jc w:val="center"/>
            <w:rPr>
              <w:rFonts w:ascii="Arial" w:hAnsi="Arial" w:cs="Arial"/>
              <w:b/>
              <w:bCs/>
              <w:sz w:val="28"/>
              <w:u w:val="single"/>
            </w:rPr>
          </w:pPr>
          <w:r w:rsidRPr="000A4C3C">
            <w:rPr>
              <w:rFonts w:ascii="Century Gothic" w:hAnsi="Century Gothic"/>
              <w:b/>
              <w:bCs/>
            </w:rPr>
            <w:t>Charity no. 1143762</w:t>
          </w:r>
        </w:p>
      </w:tc>
    </w:tr>
    <w:tr w:rsidR="009A33C9" w:rsidRPr="00A740A8" w:rsidTr="009A33C9">
      <w:trPr>
        <w:trHeight w:val="1080"/>
      </w:trPr>
      <w:tc>
        <w:tcPr>
          <w:tcW w:w="1521" w:type="dxa"/>
          <w:shd w:val="clear" w:color="auto" w:fill="auto"/>
          <w:vAlign w:val="center"/>
        </w:tcPr>
        <w:p w:rsidR="009A33C9" w:rsidRDefault="009A33C9" w:rsidP="00D40FFF">
          <w:pPr>
            <w:rPr>
              <w:rFonts w:ascii="Arial" w:hAnsi="Arial" w:cs="Arial"/>
              <w:bCs/>
            </w:rPr>
          </w:pPr>
          <w:r>
            <w:rPr>
              <w:rFonts w:ascii="Arial" w:hAnsi="Arial" w:cs="Arial"/>
              <w:bCs/>
            </w:rPr>
            <w:t>Review date:</w:t>
          </w:r>
        </w:p>
        <w:p w:rsidR="009A33C9" w:rsidRDefault="00381A3B" w:rsidP="00EC0646">
          <w:pPr>
            <w:rPr>
              <w:rFonts w:ascii="Arial" w:hAnsi="Arial" w:cs="Arial"/>
              <w:bCs/>
            </w:rPr>
          </w:pPr>
          <w:r>
            <w:rPr>
              <w:rFonts w:ascii="Arial" w:hAnsi="Arial" w:cs="Arial"/>
              <w:bCs/>
            </w:rPr>
            <w:t>30 Sept 2018</w:t>
          </w:r>
        </w:p>
      </w:tc>
      <w:tc>
        <w:tcPr>
          <w:tcW w:w="6614" w:type="dxa"/>
          <w:vMerge/>
          <w:shd w:val="clear" w:color="auto" w:fill="B8CCE4" w:themeFill="accent1" w:themeFillTint="66"/>
          <w:vAlign w:val="center"/>
        </w:tcPr>
        <w:p w:rsidR="009A33C9" w:rsidRDefault="009A33C9" w:rsidP="00D40FFF">
          <w:pPr>
            <w:jc w:val="center"/>
            <w:rPr>
              <w:rFonts w:ascii="Arial" w:hAnsi="Arial" w:cs="Arial"/>
              <w:b/>
              <w:bCs/>
              <w:sz w:val="28"/>
              <w:szCs w:val="28"/>
            </w:rPr>
          </w:pPr>
        </w:p>
      </w:tc>
      <w:tc>
        <w:tcPr>
          <w:tcW w:w="1896" w:type="dxa"/>
          <w:vMerge/>
          <w:shd w:val="clear" w:color="auto" w:fill="auto"/>
        </w:tcPr>
        <w:p w:rsidR="009A33C9" w:rsidRPr="00A740A8" w:rsidRDefault="009A33C9" w:rsidP="00D40FFF">
          <w:pPr>
            <w:jc w:val="center"/>
            <w:rPr>
              <w:rFonts w:ascii="Arial" w:hAnsi="Arial" w:cs="Arial"/>
              <w:sz w:val="19"/>
              <w:szCs w:val="19"/>
            </w:rPr>
          </w:pPr>
        </w:p>
      </w:tc>
    </w:tr>
  </w:tbl>
  <w:p w:rsidR="00A740A8" w:rsidRDefault="000D4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FA5"/>
    <w:multiLevelType w:val="hybridMultilevel"/>
    <w:tmpl w:val="B81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05FA2"/>
    <w:multiLevelType w:val="hybridMultilevel"/>
    <w:tmpl w:val="165C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A2967"/>
    <w:multiLevelType w:val="hybridMultilevel"/>
    <w:tmpl w:val="10C4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709E9"/>
    <w:multiLevelType w:val="hybridMultilevel"/>
    <w:tmpl w:val="BCD6D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DAC4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0805197"/>
    <w:multiLevelType w:val="hybridMultilevel"/>
    <w:tmpl w:val="9B7C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032E40"/>
    <w:multiLevelType w:val="hybridMultilevel"/>
    <w:tmpl w:val="EE2C8F9C"/>
    <w:lvl w:ilvl="0" w:tplc="06A443EA">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7801F3"/>
    <w:multiLevelType w:val="hybridMultilevel"/>
    <w:tmpl w:val="10C0E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2369CC"/>
    <w:multiLevelType w:val="hybridMultilevel"/>
    <w:tmpl w:val="2062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00C9C"/>
    <w:multiLevelType w:val="hybridMultilevel"/>
    <w:tmpl w:val="F58E1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D3315EE"/>
    <w:multiLevelType w:val="hybridMultilevel"/>
    <w:tmpl w:val="058ABA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4775276"/>
    <w:multiLevelType w:val="hybridMultilevel"/>
    <w:tmpl w:val="844A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3"/>
  </w:num>
  <w:num w:numId="5">
    <w:abstractNumId w:val="7"/>
  </w:num>
  <w:num w:numId="6">
    <w:abstractNumId w:val="1"/>
  </w:num>
  <w:num w:numId="7">
    <w:abstractNumId w:val="9"/>
  </w:num>
  <w:num w:numId="8">
    <w:abstractNumId w:val="0"/>
  </w:num>
  <w:num w:numId="9">
    <w:abstractNumId w:val="5"/>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93"/>
    <w:rsid w:val="000D4A5D"/>
    <w:rsid w:val="000F434D"/>
    <w:rsid w:val="00146B81"/>
    <w:rsid w:val="00150310"/>
    <w:rsid w:val="001C6025"/>
    <w:rsid w:val="001D7F1B"/>
    <w:rsid w:val="00224B75"/>
    <w:rsid w:val="00297BC4"/>
    <w:rsid w:val="003611AB"/>
    <w:rsid w:val="00375FFB"/>
    <w:rsid w:val="00381A3B"/>
    <w:rsid w:val="00392A80"/>
    <w:rsid w:val="00511788"/>
    <w:rsid w:val="00561A32"/>
    <w:rsid w:val="00565FE1"/>
    <w:rsid w:val="005F72DB"/>
    <w:rsid w:val="00631C85"/>
    <w:rsid w:val="006477A3"/>
    <w:rsid w:val="006C6328"/>
    <w:rsid w:val="00713007"/>
    <w:rsid w:val="007359D0"/>
    <w:rsid w:val="007C3904"/>
    <w:rsid w:val="008B22B8"/>
    <w:rsid w:val="008E6A51"/>
    <w:rsid w:val="00943509"/>
    <w:rsid w:val="009A33C9"/>
    <w:rsid w:val="00A075B7"/>
    <w:rsid w:val="00AA2B36"/>
    <w:rsid w:val="00AC2A93"/>
    <w:rsid w:val="00AE393E"/>
    <w:rsid w:val="00B47D7D"/>
    <w:rsid w:val="00B619AE"/>
    <w:rsid w:val="00C16BF0"/>
    <w:rsid w:val="00C944D4"/>
    <w:rsid w:val="00D32A83"/>
    <w:rsid w:val="00D729C9"/>
    <w:rsid w:val="00DD4FD7"/>
    <w:rsid w:val="00E32EC8"/>
    <w:rsid w:val="00E83052"/>
    <w:rsid w:val="00EC0646"/>
    <w:rsid w:val="00EF00FD"/>
    <w:rsid w:val="00F1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93"/>
    <w:rPr>
      <w:rFonts w:ascii="Times New Roman" w:eastAsia="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D32A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AC2A93"/>
    <w:pPr>
      <w:spacing w:before="240" w:after="60"/>
      <w:outlineLvl w:val="5"/>
    </w:pPr>
    <w:rPr>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A93"/>
    <w:pPr>
      <w:tabs>
        <w:tab w:val="center" w:pos="4320"/>
        <w:tab w:val="right" w:pos="8640"/>
      </w:tabs>
    </w:pPr>
  </w:style>
  <w:style w:type="character" w:customStyle="1" w:styleId="HeaderChar">
    <w:name w:val="Header Char"/>
    <w:basedOn w:val="DefaultParagraphFont"/>
    <w:link w:val="Header"/>
    <w:uiPriority w:val="99"/>
    <w:rsid w:val="00AC2A9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AC2A93"/>
    <w:pPr>
      <w:tabs>
        <w:tab w:val="center" w:pos="4513"/>
        <w:tab w:val="right" w:pos="9026"/>
      </w:tabs>
    </w:pPr>
  </w:style>
  <w:style w:type="character" w:customStyle="1" w:styleId="FooterChar">
    <w:name w:val="Footer Char"/>
    <w:basedOn w:val="DefaultParagraphFont"/>
    <w:link w:val="Footer"/>
    <w:uiPriority w:val="99"/>
    <w:rsid w:val="00AC2A93"/>
    <w:rPr>
      <w:rFonts w:ascii="Times New Roman" w:eastAsia="Times New Roman" w:hAnsi="Times New Roman" w:cs="Times New Roman"/>
      <w:kern w:val="28"/>
      <w:sz w:val="20"/>
      <w:szCs w:val="20"/>
      <w:lang w:val="en-US"/>
    </w:rPr>
  </w:style>
  <w:style w:type="paragraph" w:styleId="BodyText">
    <w:name w:val="Body Text"/>
    <w:basedOn w:val="Normal"/>
    <w:link w:val="BodyTextChar"/>
    <w:rsid w:val="00AC2A93"/>
    <w:pPr>
      <w:jc w:val="both"/>
    </w:pPr>
    <w:rPr>
      <w:kern w:val="0"/>
      <w:sz w:val="22"/>
    </w:rPr>
  </w:style>
  <w:style w:type="character" w:customStyle="1" w:styleId="BodyTextChar">
    <w:name w:val="Body Text Char"/>
    <w:basedOn w:val="DefaultParagraphFont"/>
    <w:link w:val="BodyText"/>
    <w:rsid w:val="00AC2A93"/>
    <w:rPr>
      <w:rFonts w:ascii="Times New Roman" w:eastAsia="Times New Roman" w:hAnsi="Times New Roman" w:cs="Times New Roman"/>
      <w:szCs w:val="20"/>
    </w:rPr>
  </w:style>
  <w:style w:type="paragraph" w:styleId="BodyTextIndent2">
    <w:name w:val="Body Text Indent 2"/>
    <w:basedOn w:val="Normal"/>
    <w:link w:val="BodyTextIndent2Char"/>
    <w:rsid w:val="00AC2A93"/>
    <w:pPr>
      <w:spacing w:after="120" w:line="480" w:lineRule="auto"/>
      <w:ind w:left="283"/>
    </w:pPr>
    <w:rPr>
      <w:kern w:val="0"/>
      <w:sz w:val="24"/>
      <w:szCs w:val="24"/>
    </w:rPr>
  </w:style>
  <w:style w:type="character" w:customStyle="1" w:styleId="BodyTextIndent2Char">
    <w:name w:val="Body Text Indent 2 Char"/>
    <w:basedOn w:val="DefaultParagraphFont"/>
    <w:link w:val="BodyTextIndent2"/>
    <w:rsid w:val="00AC2A93"/>
    <w:rPr>
      <w:rFonts w:ascii="Times New Roman" w:eastAsia="Times New Roman" w:hAnsi="Times New Roman" w:cs="Times New Roman"/>
      <w:sz w:val="24"/>
      <w:szCs w:val="24"/>
    </w:rPr>
  </w:style>
  <w:style w:type="character" w:styleId="CommentReference">
    <w:name w:val="annotation reference"/>
    <w:basedOn w:val="DefaultParagraphFont"/>
    <w:semiHidden/>
    <w:rsid w:val="00AC2A93"/>
    <w:rPr>
      <w:sz w:val="16"/>
      <w:szCs w:val="16"/>
    </w:rPr>
  </w:style>
  <w:style w:type="paragraph" w:styleId="CommentText">
    <w:name w:val="annotation text"/>
    <w:basedOn w:val="Normal"/>
    <w:link w:val="CommentTextChar"/>
    <w:semiHidden/>
    <w:rsid w:val="00AC2A93"/>
    <w:rPr>
      <w:kern w:val="0"/>
    </w:rPr>
  </w:style>
  <w:style w:type="character" w:customStyle="1" w:styleId="CommentTextChar">
    <w:name w:val="Comment Text Char"/>
    <w:basedOn w:val="DefaultParagraphFont"/>
    <w:link w:val="CommentText"/>
    <w:semiHidden/>
    <w:rsid w:val="00AC2A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2A93"/>
    <w:rPr>
      <w:rFonts w:ascii="Tahoma" w:hAnsi="Tahoma" w:cs="Tahoma"/>
      <w:sz w:val="16"/>
      <w:szCs w:val="16"/>
    </w:rPr>
  </w:style>
  <w:style w:type="character" w:customStyle="1" w:styleId="BalloonTextChar">
    <w:name w:val="Balloon Text Char"/>
    <w:basedOn w:val="DefaultParagraphFont"/>
    <w:link w:val="BalloonText"/>
    <w:uiPriority w:val="99"/>
    <w:semiHidden/>
    <w:rsid w:val="00AC2A93"/>
    <w:rPr>
      <w:rFonts w:ascii="Tahoma" w:eastAsia="Times New Roman" w:hAnsi="Tahoma" w:cs="Tahoma"/>
      <w:kern w:val="28"/>
      <w:sz w:val="16"/>
      <w:szCs w:val="16"/>
      <w:lang w:val="en-US"/>
    </w:rPr>
  </w:style>
  <w:style w:type="character" w:customStyle="1" w:styleId="Heading6Char">
    <w:name w:val="Heading 6 Char"/>
    <w:basedOn w:val="DefaultParagraphFont"/>
    <w:link w:val="Heading6"/>
    <w:rsid w:val="00AC2A93"/>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D32A83"/>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C94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93"/>
    <w:rPr>
      <w:rFonts w:ascii="Times New Roman" w:eastAsia="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D32A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AC2A93"/>
    <w:pPr>
      <w:spacing w:before="240" w:after="60"/>
      <w:outlineLvl w:val="5"/>
    </w:pPr>
    <w:rPr>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2A93"/>
    <w:pPr>
      <w:tabs>
        <w:tab w:val="center" w:pos="4320"/>
        <w:tab w:val="right" w:pos="8640"/>
      </w:tabs>
    </w:pPr>
  </w:style>
  <w:style w:type="character" w:customStyle="1" w:styleId="HeaderChar">
    <w:name w:val="Header Char"/>
    <w:basedOn w:val="DefaultParagraphFont"/>
    <w:link w:val="Header"/>
    <w:uiPriority w:val="99"/>
    <w:rsid w:val="00AC2A9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AC2A93"/>
    <w:pPr>
      <w:tabs>
        <w:tab w:val="center" w:pos="4513"/>
        <w:tab w:val="right" w:pos="9026"/>
      </w:tabs>
    </w:pPr>
  </w:style>
  <w:style w:type="character" w:customStyle="1" w:styleId="FooterChar">
    <w:name w:val="Footer Char"/>
    <w:basedOn w:val="DefaultParagraphFont"/>
    <w:link w:val="Footer"/>
    <w:uiPriority w:val="99"/>
    <w:rsid w:val="00AC2A93"/>
    <w:rPr>
      <w:rFonts w:ascii="Times New Roman" w:eastAsia="Times New Roman" w:hAnsi="Times New Roman" w:cs="Times New Roman"/>
      <w:kern w:val="28"/>
      <w:sz w:val="20"/>
      <w:szCs w:val="20"/>
      <w:lang w:val="en-US"/>
    </w:rPr>
  </w:style>
  <w:style w:type="paragraph" w:styleId="BodyText">
    <w:name w:val="Body Text"/>
    <w:basedOn w:val="Normal"/>
    <w:link w:val="BodyTextChar"/>
    <w:rsid w:val="00AC2A93"/>
    <w:pPr>
      <w:jc w:val="both"/>
    </w:pPr>
    <w:rPr>
      <w:kern w:val="0"/>
      <w:sz w:val="22"/>
    </w:rPr>
  </w:style>
  <w:style w:type="character" w:customStyle="1" w:styleId="BodyTextChar">
    <w:name w:val="Body Text Char"/>
    <w:basedOn w:val="DefaultParagraphFont"/>
    <w:link w:val="BodyText"/>
    <w:rsid w:val="00AC2A93"/>
    <w:rPr>
      <w:rFonts w:ascii="Times New Roman" w:eastAsia="Times New Roman" w:hAnsi="Times New Roman" w:cs="Times New Roman"/>
      <w:szCs w:val="20"/>
    </w:rPr>
  </w:style>
  <w:style w:type="paragraph" w:styleId="BodyTextIndent2">
    <w:name w:val="Body Text Indent 2"/>
    <w:basedOn w:val="Normal"/>
    <w:link w:val="BodyTextIndent2Char"/>
    <w:rsid w:val="00AC2A93"/>
    <w:pPr>
      <w:spacing w:after="120" w:line="480" w:lineRule="auto"/>
      <w:ind w:left="283"/>
    </w:pPr>
    <w:rPr>
      <w:kern w:val="0"/>
      <w:sz w:val="24"/>
      <w:szCs w:val="24"/>
    </w:rPr>
  </w:style>
  <w:style w:type="character" w:customStyle="1" w:styleId="BodyTextIndent2Char">
    <w:name w:val="Body Text Indent 2 Char"/>
    <w:basedOn w:val="DefaultParagraphFont"/>
    <w:link w:val="BodyTextIndent2"/>
    <w:rsid w:val="00AC2A93"/>
    <w:rPr>
      <w:rFonts w:ascii="Times New Roman" w:eastAsia="Times New Roman" w:hAnsi="Times New Roman" w:cs="Times New Roman"/>
      <w:sz w:val="24"/>
      <w:szCs w:val="24"/>
    </w:rPr>
  </w:style>
  <w:style w:type="character" w:styleId="CommentReference">
    <w:name w:val="annotation reference"/>
    <w:basedOn w:val="DefaultParagraphFont"/>
    <w:semiHidden/>
    <w:rsid w:val="00AC2A93"/>
    <w:rPr>
      <w:sz w:val="16"/>
      <w:szCs w:val="16"/>
    </w:rPr>
  </w:style>
  <w:style w:type="paragraph" w:styleId="CommentText">
    <w:name w:val="annotation text"/>
    <w:basedOn w:val="Normal"/>
    <w:link w:val="CommentTextChar"/>
    <w:semiHidden/>
    <w:rsid w:val="00AC2A93"/>
    <w:rPr>
      <w:kern w:val="0"/>
    </w:rPr>
  </w:style>
  <w:style w:type="character" w:customStyle="1" w:styleId="CommentTextChar">
    <w:name w:val="Comment Text Char"/>
    <w:basedOn w:val="DefaultParagraphFont"/>
    <w:link w:val="CommentText"/>
    <w:semiHidden/>
    <w:rsid w:val="00AC2A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2A93"/>
    <w:rPr>
      <w:rFonts w:ascii="Tahoma" w:hAnsi="Tahoma" w:cs="Tahoma"/>
      <w:sz w:val="16"/>
      <w:szCs w:val="16"/>
    </w:rPr>
  </w:style>
  <w:style w:type="character" w:customStyle="1" w:styleId="BalloonTextChar">
    <w:name w:val="Balloon Text Char"/>
    <w:basedOn w:val="DefaultParagraphFont"/>
    <w:link w:val="BalloonText"/>
    <w:uiPriority w:val="99"/>
    <w:semiHidden/>
    <w:rsid w:val="00AC2A93"/>
    <w:rPr>
      <w:rFonts w:ascii="Tahoma" w:eastAsia="Times New Roman" w:hAnsi="Tahoma" w:cs="Tahoma"/>
      <w:kern w:val="28"/>
      <w:sz w:val="16"/>
      <w:szCs w:val="16"/>
      <w:lang w:val="en-US"/>
    </w:rPr>
  </w:style>
  <w:style w:type="character" w:customStyle="1" w:styleId="Heading6Char">
    <w:name w:val="Heading 6 Char"/>
    <w:basedOn w:val="DefaultParagraphFont"/>
    <w:link w:val="Heading6"/>
    <w:rsid w:val="00AC2A93"/>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D32A83"/>
    <w:rPr>
      <w:rFonts w:asciiTheme="majorHAnsi" w:eastAsiaTheme="majorEastAsia" w:hAnsiTheme="majorHAnsi" w:cstheme="majorBidi"/>
      <w:b/>
      <w:bCs/>
      <w:color w:val="4F81BD" w:themeColor="accent1"/>
      <w:kern w:val="28"/>
      <w:sz w:val="26"/>
      <w:szCs w:val="26"/>
    </w:rPr>
  </w:style>
  <w:style w:type="paragraph" w:styleId="ListParagraph">
    <w:name w:val="List Paragraph"/>
    <w:basedOn w:val="Normal"/>
    <w:uiPriority w:val="34"/>
    <w:qFormat/>
    <w:rsid w:val="00C94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Denyse</dc:creator>
  <cp:lastModifiedBy>Denyse</cp:lastModifiedBy>
  <cp:revision>2</cp:revision>
  <cp:lastPrinted>2016-09-12T11:43:00Z</cp:lastPrinted>
  <dcterms:created xsi:type="dcterms:W3CDTF">2018-03-27T19:27:00Z</dcterms:created>
  <dcterms:modified xsi:type="dcterms:W3CDTF">2018-03-27T19:27:00Z</dcterms:modified>
</cp:coreProperties>
</file>